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D4F" w:rsidRDefault="00F87D4F" w:rsidP="00F87D4F">
      <w:pPr>
        <w:jc w:val="center"/>
      </w:pPr>
      <w:bookmarkStart w:id="0" w:name="_GoBack"/>
      <w:bookmarkEnd w:id="0"/>
      <w:r>
        <w:rPr>
          <w:noProof/>
        </w:rPr>
        <w:drawing>
          <wp:inline distT="0" distB="0" distL="0" distR="0">
            <wp:extent cx="1306830" cy="1471197"/>
            <wp:effectExtent l="19050" t="0" r="7620" b="0"/>
            <wp:docPr id="1" name="Picture 0" descr="Excel_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el_Logo_Color.jpg"/>
                    <pic:cNvPicPr/>
                  </pic:nvPicPr>
                  <pic:blipFill>
                    <a:blip r:embed="rId5" cstate="print"/>
                    <a:stretch>
                      <a:fillRect/>
                    </a:stretch>
                  </pic:blipFill>
                  <pic:spPr>
                    <a:xfrm>
                      <a:off x="0" y="0"/>
                      <a:ext cx="1312364" cy="1477427"/>
                    </a:xfrm>
                    <a:prstGeom prst="rect">
                      <a:avLst/>
                    </a:prstGeom>
                  </pic:spPr>
                </pic:pic>
              </a:graphicData>
            </a:graphic>
          </wp:inline>
        </w:drawing>
      </w:r>
    </w:p>
    <w:p w:rsidR="00F87D4F" w:rsidRPr="00F87D4F" w:rsidRDefault="00F87D4F" w:rsidP="00F87D4F">
      <w:pPr>
        <w:jc w:val="center"/>
        <w:rPr>
          <w:b/>
          <w:i/>
        </w:rPr>
      </w:pPr>
      <w:r w:rsidRPr="00F87D4F">
        <w:rPr>
          <w:b/>
          <w:i/>
        </w:rPr>
        <w:t>Career Strands:  Construction ~ Medical &amp; Health Science ~ Teacher Cadet ~ Technology Solutions</w:t>
      </w:r>
    </w:p>
    <w:p w:rsidR="00F87D4F" w:rsidRPr="00F87D4F" w:rsidRDefault="00F87D4F" w:rsidP="00F87D4F">
      <w:pPr>
        <w:jc w:val="center"/>
        <w:rPr>
          <w:b/>
          <w:i/>
        </w:rPr>
      </w:pPr>
    </w:p>
    <w:p w:rsidR="00F87D4F" w:rsidRPr="00F87D4F" w:rsidRDefault="00F87D4F" w:rsidP="00F87D4F">
      <w:pPr>
        <w:jc w:val="both"/>
        <w:rPr>
          <w:rFonts w:cs="Arial"/>
          <w:color w:val="2E2F2D"/>
          <w:sz w:val="24"/>
          <w:szCs w:val="24"/>
          <w:shd w:val="clear" w:color="auto" w:fill="FFFFFF"/>
        </w:rPr>
      </w:pPr>
      <w:r>
        <w:rPr>
          <w:b/>
          <w:sz w:val="28"/>
        </w:rPr>
        <w:t xml:space="preserve">What is </w:t>
      </w:r>
      <w:r>
        <w:rPr>
          <w:b/>
          <w:noProof/>
          <w:sz w:val="28"/>
        </w:rPr>
        <w:t>EXCEL?</w:t>
      </w:r>
      <w:r>
        <w:rPr>
          <w:b/>
          <w:sz w:val="28"/>
        </w:rPr>
        <w:t xml:space="preserve">- </w:t>
      </w:r>
      <w:r w:rsidRPr="00F87D4F">
        <w:rPr>
          <w:rFonts w:cs="Arial"/>
          <w:color w:val="2E2F2D"/>
          <w:sz w:val="24"/>
          <w:szCs w:val="24"/>
          <w:shd w:val="clear" w:color="auto" w:fill="FFFFFF"/>
        </w:rPr>
        <w:t>Excel Careers for Advanced Professional Studies is a high school program which operates multiple career strands for 11</w:t>
      </w:r>
      <w:r w:rsidRPr="00F87D4F">
        <w:rPr>
          <w:rFonts w:cs="Arial"/>
          <w:color w:val="2E2F2D"/>
          <w:sz w:val="24"/>
          <w:szCs w:val="24"/>
          <w:shd w:val="clear" w:color="auto" w:fill="FFFFFF"/>
          <w:vertAlign w:val="superscript"/>
        </w:rPr>
        <w:t>th</w:t>
      </w:r>
      <w:r w:rsidRPr="00F87D4F">
        <w:rPr>
          <w:rFonts w:cs="Arial"/>
          <w:color w:val="2E2F2D"/>
          <w:sz w:val="24"/>
          <w:szCs w:val="24"/>
          <w:shd w:val="clear" w:color="auto" w:fill="FFFFFF"/>
        </w:rPr>
        <w:t> and 12</w:t>
      </w:r>
      <w:r w:rsidRPr="00F87D4F">
        <w:rPr>
          <w:rFonts w:cs="Arial"/>
          <w:color w:val="2E2F2D"/>
          <w:sz w:val="24"/>
          <w:szCs w:val="24"/>
          <w:shd w:val="clear" w:color="auto" w:fill="FFFFFF"/>
          <w:vertAlign w:val="superscript"/>
        </w:rPr>
        <w:t>th</w:t>
      </w:r>
      <w:r w:rsidRPr="00F87D4F">
        <w:rPr>
          <w:rFonts w:cs="Arial"/>
          <w:color w:val="2E2F2D"/>
          <w:sz w:val="24"/>
          <w:szCs w:val="24"/>
          <w:shd w:val="clear" w:color="auto" w:fill="FFFFFF"/>
        </w:rPr>
        <w:t xml:space="preserve"> grade students in the Little Rock School District.  Excel will put </w:t>
      </w:r>
      <w:r>
        <w:rPr>
          <w:rFonts w:cs="Arial"/>
          <w:color w:val="2E2F2D"/>
          <w:sz w:val="24"/>
          <w:szCs w:val="24"/>
          <w:shd w:val="clear" w:color="auto" w:fill="FFFFFF"/>
        </w:rPr>
        <w:t xml:space="preserve">students’ </w:t>
      </w:r>
      <w:r w:rsidRPr="00F87D4F">
        <w:rPr>
          <w:rFonts w:cs="Arial"/>
          <w:color w:val="2E2F2D"/>
          <w:sz w:val="24"/>
          <w:szCs w:val="24"/>
          <w:shd w:val="clear" w:color="auto" w:fill="FFFFFF"/>
        </w:rPr>
        <w:t xml:space="preserve">one step closer to reaching </w:t>
      </w:r>
      <w:r>
        <w:rPr>
          <w:rFonts w:cs="Arial"/>
          <w:color w:val="2E2F2D"/>
          <w:sz w:val="24"/>
          <w:szCs w:val="24"/>
          <w:shd w:val="clear" w:color="auto" w:fill="FFFFFF"/>
        </w:rPr>
        <w:t>their</w:t>
      </w:r>
      <w:r w:rsidRPr="00F87D4F">
        <w:rPr>
          <w:rFonts w:cs="Arial"/>
          <w:color w:val="2E2F2D"/>
          <w:sz w:val="24"/>
          <w:szCs w:val="24"/>
          <w:shd w:val="clear" w:color="auto" w:fill="FFFFFF"/>
        </w:rPr>
        <w:t xml:space="preserve"> dreams by providing real and relevant learning experiences.  Each career strand will offer internship experiences, industry certifications, and college credit. </w:t>
      </w:r>
    </w:p>
    <w:p w:rsidR="00F87D4F" w:rsidRPr="00F87D4F" w:rsidRDefault="00F87D4F" w:rsidP="00F87D4F">
      <w:pPr>
        <w:jc w:val="both"/>
        <w:rPr>
          <w:rFonts w:cs="Arial"/>
          <w:color w:val="2E2F2D"/>
          <w:sz w:val="8"/>
          <w:szCs w:val="24"/>
          <w:shd w:val="clear" w:color="auto" w:fill="FFFFFF"/>
        </w:rPr>
      </w:pPr>
    </w:p>
    <w:p w:rsidR="00A50BFA" w:rsidRPr="00F87D4F" w:rsidRDefault="00F87D4F" w:rsidP="00F87D4F">
      <w:pPr>
        <w:jc w:val="both"/>
        <w:rPr>
          <w:b/>
          <w:sz w:val="24"/>
          <w:szCs w:val="24"/>
          <w:u w:val="single"/>
        </w:rPr>
      </w:pPr>
      <w:r w:rsidRPr="00F87D4F">
        <w:rPr>
          <w:b/>
          <w:sz w:val="24"/>
          <w:szCs w:val="24"/>
          <w:u w:val="single"/>
        </w:rPr>
        <w:t>Key Points</w:t>
      </w:r>
    </w:p>
    <w:p w:rsidR="00F87D4F" w:rsidRPr="00F87D4F" w:rsidRDefault="00F87D4F" w:rsidP="00F87D4F">
      <w:pPr>
        <w:pStyle w:val="ListParagraph"/>
        <w:numPr>
          <w:ilvl w:val="0"/>
          <w:numId w:val="1"/>
        </w:numPr>
        <w:jc w:val="both"/>
        <w:rPr>
          <w:sz w:val="24"/>
          <w:szCs w:val="24"/>
        </w:rPr>
      </w:pPr>
      <w:r w:rsidRPr="00F87D4F">
        <w:rPr>
          <w:sz w:val="24"/>
          <w:szCs w:val="24"/>
        </w:rPr>
        <w:t>Developed relationships with business, industry, and higher education partners. There are over 50 partners involved in creating EXCEL.</w:t>
      </w:r>
      <w:r w:rsidR="00CA4C95">
        <w:rPr>
          <w:sz w:val="24"/>
          <w:szCs w:val="24"/>
        </w:rPr>
        <w:t xml:space="preserve"> </w:t>
      </w:r>
    </w:p>
    <w:p w:rsidR="00F87D4F" w:rsidRPr="00F87D4F" w:rsidRDefault="00F87D4F" w:rsidP="00F87D4F">
      <w:pPr>
        <w:pStyle w:val="ListParagraph"/>
        <w:numPr>
          <w:ilvl w:val="0"/>
          <w:numId w:val="1"/>
        </w:numPr>
        <w:jc w:val="both"/>
        <w:rPr>
          <w:sz w:val="24"/>
          <w:szCs w:val="24"/>
        </w:rPr>
      </w:pPr>
      <w:r w:rsidRPr="00F87D4F">
        <w:rPr>
          <w:sz w:val="24"/>
          <w:szCs w:val="24"/>
        </w:rPr>
        <w:t>Joined the CAPS Network to support profession-based learning; professional skills development, self-discovery and explor</w:t>
      </w:r>
      <w:r>
        <w:rPr>
          <w:sz w:val="24"/>
          <w:szCs w:val="24"/>
        </w:rPr>
        <w:t xml:space="preserve">ation, entrepreneurial mindset, </w:t>
      </w:r>
      <w:r w:rsidRPr="00F87D4F">
        <w:rPr>
          <w:sz w:val="24"/>
          <w:szCs w:val="24"/>
        </w:rPr>
        <w:t>and responsiveness.</w:t>
      </w:r>
    </w:p>
    <w:p w:rsidR="00F87D4F" w:rsidRPr="00F87D4F" w:rsidRDefault="00F87D4F" w:rsidP="00F87D4F">
      <w:pPr>
        <w:pStyle w:val="ListParagraph"/>
        <w:numPr>
          <w:ilvl w:val="0"/>
          <w:numId w:val="1"/>
        </w:numPr>
        <w:jc w:val="both"/>
        <w:rPr>
          <w:sz w:val="24"/>
          <w:szCs w:val="24"/>
        </w:rPr>
      </w:pPr>
      <w:r w:rsidRPr="00F87D4F">
        <w:rPr>
          <w:sz w:val="24"/>
          <w:szCs w:val="24"/>
        </w:rPr>
        <w:t>Issued a corporate challenge to raise funds for concurrent credit.</w:t>
      </w:r>
    </w:p>
    <w:tbl>
      <w:tblPr>
        <w:tblW w:w="8110" w:type="dxa"/>
        <w:tblInd w:w="1146" w:type="dxa"/>
        <w:tblCellMar>
          <w:left w:w="0" w:type="dxa"/>
          <w:right w:w="0" w:type="dxa"/>
        </w:tblCellMar>
        <w:tblLook w:val="04A0" w:firstRow="1" w:lastRow="0" w:firstColumn="1" w:lastColumn="0" w:noHBand="0" w:noVBand="1"/>
      </w:tblPr>
      <w:tblGrid>
        <w:gridCol w:w="2242"/>
        <w:gridCol w:w="5868"/>
      </w:tblGrid>
      <w:tr w:rsidR="00F87D4F" w:rsidRPr="00F87D4F" w:rsidTr="00F87D4F">
        <w:trPr>
          <w:trHeight w:val="227"/>
        </w:trPr>
        <w:tc>
          <w:tcPr>
            <w:tcW w:w="0" w:type="auto"/>
            <w:tcBorders>
              <w:top w:val="single" w:sz="4" w:space="0" w:color="CCCCCC"/>
              <w:left w:val="single" w:sz="4" w:space="0" w:color="CCCCCC"/>
              <w:bottom w:val="single" w:sz="4" w:space="0" w:color="CCCCCC"/>
              <w:right w:val="single" w:sz="4" w:space="0" w:color="CCCCCC"/>
            </w:tcBorders>
            <w:tcMar>
              <w:top w:w="0" w:type="dxa"/>
              <w:left w:w="36" w:type="dxa"/>
              <w:bottom w:w="0" w:type="dxa"/>
              <w:right w:w="36" w:type="dxa"/>
            </w:tcMar>
            <w:vAlign w:val="bottom"/>
            <w:hideMark/>
          </w:tcPr>
          <w:p w:rsidR="00F87D4F" w:rsidRPr="00F87D4F" w:rsidRDefault="00F87D4F" w:rsidP="00F87D4F">
            <w:pPr>
              <w:spacing w:line="240" w:lineRule="auto"/>
              <w:rPr>
                <w:rFonts w:ascii="Calibri" w:eastAsia="Times New Roman" w:hAnsi="Calibri" w:cs="Times New Roman"/>
                <w:sz w:val="24"/>
                <w:szCs w:val="24"/>
              </w:rPr>
            </w:pPr>
            <w:r w:rsidRPr="00F87D4F">
              <w:rPr>
                <w:rFonts w:ascii="Calibri" w:eastAsia="Times New Roman" w:hAnsi="Calibri" w:cs="Times New Roman"/>
                <w:sz w:val="24"/>
                <w:szCs w:val="24"/>
              </w:rPr>
              <w:t>Medical</w:t>
            </w:r>
            <w:r>
              <w:rPr>
                <w:rFonts w:ascii="Calibri" w:eastAsia="Times New Roman" w:hAnsi="Calibri" w:cs="Times New Roman"/>
                <w:sz w:val="24"/>
                <w:szCs w:val="24"/>
              </w:rPr>
              <w:t xml:space="preserve">             </w:t>
            </w:r>
            <w:r w:rsidRPr="00F87D4F">
              <w:rPr>
                <w:rFonts w:ascii="Calibri" w:eastAsia="Times New Roman" w:hAnsi="Calibri" w:cs="Times New Roman"/>
                <w:sz w:val="24"/>
                <w:szCs w:val="24"/>
              </w:rPr>
              <w:t xml:space="preserve"> $7500</w:t>
            </w:r>
            <w:r>
              <w:rPr>
                <w:rFonts w:ascii="Calibri" w:eastAsia="Times New Roman" w:hAnsi="Calibri" w:cs="Times New Roman"/>
                <w:sz w:val="24"/>
                <w:szCs w:val="24"/>
              </w:rPr>
              <w:t xml:space="preserve">   </w:t>
            </w:r>
          </w:p>
        </w:tc>
        <w:tc>
          <w:tcPr>
            <w:tcW w:w="0" w:type="auto"/>
            <w:tcBorders>
              <w:top w:val="single" w:sz="4" w:space="0" w:color="CCCCCC"/>
              <w:left w:val="single" w:sz="4" w:space="0" w:color="CCCCCC"/>
              <w:bottom w:val="single" w:sz="4" w:space="0" w:color="CCCCCC"/>
              <w:right w:val="single" w:sz="4" w:space="0" w:color="CCCCCC"/>
            </w:tcBorders>
            <w:tcMar>
              <w:top w:w="0" w:type="dxa"/>
              <w:left w:w="36" w:type="dxa"/>
              <w:bottom w:w="0" w:type="dxa"/>
              <w:right w:w="36" w:type="dxa"/>
            </w:tcMar>
            <w:vAlign w:val="bottom"/>
            <w:hideMark/>
          </w:tcPr>
          <w:p w:rsidR="00F87D4F" w:rsidRPr="00F87D4F" w:rsidRDefault="00F87D4F" w:rsidP="00F87D4F">
            <w:pPr>
              <w:spacing w:line="240" w:lineRule="auto"/>
              <w:rPr>
                <w:rFonts w:ascii="Calibri" w:eastAsia="Times New Roman" w:hAnsi="Calibri" w:cs="Times New Roman"/>
                <w:sz w:val="24"/>
                <w:szCs w:val="24"/>
              </w:rPr>
            </w:pPr>
            <w:r>
              <w:rPr>
                <w:rFonts w:ascii="Calibri" w:eastAsia="Times New Roman" w:hAnsi="Calibri" w:cs="Times New Roman"/>
                <w:sz w:val="24"/>
                <w:szCs w:val="24"/>
              </w:rPr>
              <w:t xml:space="preserve">Delta Dental and </w:t>
            </w:r>
            <w:r w:rsidRPr="00F87D4F">
              <w:rPr>
                <w:rFonts w:ascii="Calibri" w:eastAsia="Times New Roman" w:hAnsi="Calibri" w:cs="Times New Roman"/>
                <w:sz w:val="24"/>
                <w:szCs w:val="24"/>
              </w:rPr>
              <w:t>Blue Cross</w:t>
            </w:r>
            <w:r>
              <w:rPr>
                <w:rFonts w:ascii="Calibri" w:eastAsia="Times New Roman" w:hAnsi="Calibri" w:cs="Times New Roman"/>
                <w:sz w:val="24"/>
                <w:szCs w:val="24"/>
              </w:rPr>
              <w:t xml:space="preserve"> Blue Shield Blue and You Grant</w:t>
            </w:r>
          </w:p>
        </w:tc>
      </w:tr>
      <w:tr w:rsidR="00F87D4F" w:rsidRPr="00F87D4F" w:rsidTr="00F87D4F">
        <w:trPr>
          <w:trHeight w:val="227"/>
        </w:trPr>
        <w:tc>
          <w:tcPr>
            <w:tcW w:w="0" w:type="auto"/>
            <w:tcBorders>
              <w:top w:val="single" w:sz="4" w:space="0" w:color="CCCCCC"/>
              <w:left w:val="single" w:sz="4" w:space="0" w:color="CCCCCC"/>
              <w:bottom w:val="single" w:sz="4" w:space="0" w:color="CCCCCC"/>
              <w:right w:val="single" w:sz="4" w:space="0" w:color="CCCCCC"/>
            </w:tcBorders>
            <w:tcMar>
              <w:top w:w="0" w:type="dxa"/>
              <w:left w:w="36" w:type="dxa"/>
              <w:bottom w:w="0" w:type="dxa"/>
              <w:right w:w="36" w:type="dxa"/>
            </w:tcMar>
            <w:vAlign w:val="bottom"/>
            <w:hideMark/>
          </w:tcPr>
          <w:p w:rsidR="00F87D4F" w:rsidRPr="00F87D4F" w:rsidRDefault="00F87D4F" w:rsidP="00F87D4F">
            <w:pPr>
              <w:spacing w:line="240" w:lineRule="auto"/>
              <w:rPr>
                <w:rFonts w:ascii="Calibri" w:eastAsia="Times New Roman" w:hAnsi="Calibri" w:cs="Times New Roman"/>
                <w:sz w:val="24"/>
                <w:szCs w:val="24"/>
              </w:rPr>
            </w:pPr>
            <w:r w:rsidRPr="00F87D4F">
              <w:rPr>
                <w:rFonts w:ascii="Calibri" w:eastAsia="Times New Roman" w:hAnsi="Calibri" w:cs="Times New Roman"/>
                <w:sz w:val="24"/>
                <w:szCs w:val="24"/>
              </w:rPr>
              <w:t>Construction</w:t>
            </w:r>
            <w:r>
              <w:rPr>
                <w:rFonts w:ascii="Calibri" w:eastAsia="Times New Roman" w:hAnsi="Calibri" w:cs="Times New Roman"/>
                <w:sz w:val="24"/>
                <w:szCs w:val="24"/>
              </w:rPr>
              <w:t xml:space="preserve">    </w:t>
            </w:r>
            <w:r w:rsidRPr="00F87D4F">
              <w:rPr>
                <w:rFonts w:ascii="Calibri" w:eastAsia="Times New Roman" w:hAnsi="Calibri" w:cs="Times New Roman"/>
                <w:sz w:val="24"/>
                <w:szCs w:val="24"/>
              </w:rPr>
              <w:t xml:space="preserve"> $2500</w:t>
            </w:r>
          </w:p>
        </w:tc>
        <w:tc>
          <w:tcPr>
            <w:tcW w:w="0" w:type="auto"/>
            <w:tcBorders>
              <w:top w:val="single" w:sz="4" w:space="0" w:color="CCCCCC"/>
              <w:left w:val="single" w:sz="4" w:space="0" w:color="CCCCCC"/>
              <w:bottom w:val="single" w:sz="4" w:space="0" w:color="CCCCCC"/>
              <w:right w:val="single" w:sz="4" w:space="0" w:color="CCCCCC"/>
            </w:tcBorders>
            <w:tcMar>
              <w:top w:w="0" w:type="dxa"/>
              <w:left w:w="36" w:type="dxa"/>
              <w:bottom w:w="0" w:type="dxa"/>
              <w:right w:w="36" w:type="dxa"/>
            </w:tcMar>
            <w:vAlign w:val="bottom"/>
            <w:hideMark/>
          </w:tcPr>
          <w:p w:rsidR="00F87D4F" w:rsidRPr="00F87D4F" w:rsidRDefault="00F87D4F" w:rsidP="00F87D4F">
            <w:pPr>
              <w:spacing w:line="240" w:lineRule="auto"/>
              <w:rPr>
                <w:rFonts w:ascii="Calibri" w:eastAsia="Times New Roman" w:hAnsi="Calibri" w:cs="Times New Roman"/>
                <w:sz w:val="24"/>
                <w:szCs w:val="24"/>
              </w:rPr>
            </w:pPr>
            <w:r w:rsidRPr="00F87D4F">
              <w:rPr>
                <w:rFonts w:ascii="Calibri" w:eastAsia="Times New Roman" w:hAnsi="Calibri" w:cs="Times New Roman"/>
                <w:sz w:val="24"/>
                <w:szCs w:val="24"/>
              </w:rPr>
              <w:t>Nabholz</w:t>
            </w:r>
            <w:r>
              <w:rPr>
                <w:rFonts w:ascii="Calibri" w:eastAsia="Times New Roman" w:hAnsi="Calibri" w:cs="Times New Roman"/>
                <w:sz w:val="24"/>
                <w:szCs w:val="24"/>
              </w:rPr>
              <w:t xml:space="preserve"> and </w:t>
            </w:r>
            <w:r w:rsidRPr="00F87D4F">
              <w:rPr>
                <w:rFonts w:ascii="Calibri" w:eastAsia="Times New Roman" w:hAnsi="Calibri" w:cs="Times New Roman"/>
                <w:sz w:val="24"/>
                <w:szCs w:val="24"/>
              </w:rPr>
              <w:t>Baldwin Shell</w:t>
            </w:r>
          </w:p>
        </w:tc>
      </w:tr>
      <w:tr w:rsidR="00F87D4F" w:rsidRPr="00F87D4F" w:rsidTr="00F87D4F">
        <w:trPr>
          <w:trHeight w:val="227"/>
        </w:trPr>
        <w:tc>
          <w:tcPr>
            <w:tcW w:w="0" w:type="auto"/>
            <w:tcBorders>
              <w:top w:val="single" w:sz="4" w:space="0" w:color="CCCCCC"/>
              <w:left w:val="single" w:sz="4" w:space="0" w:color="CCCCCC"/>
              <w:bottom w:val="single" w:sz="4" w:space="0" w:color="CCCCCC"/>
              <w:right w:val="single" w:sz="4" w:space="0" w:color="CCCCCC"/>
            </w:tcBorders>
            <w:tcMar>
              <w:top w:w="0" w:type="dxa"/>
              <w:left w:w="36" w:type="dxa"/>
              <w:bottom w:w="0" w:type="dxa"/>
              <w:right w:w="36" w:type="dxa"/>
            </w:tcMar>
            <w:vAlign w:val="bottom"/>
            <w:hideMark/>
          </w:tcPr>
          <w:p w:rsidR="00F87D4F" w:rsidRPr="00F87D4F" w:rsidRDefault="00F87D4F" w:rsidP="00F87D4F">
            <w:pPr>
              <w:spacing w:line="240" w:lineRule="auto"/>
              <w:rPr>
                <w:rFonts w:ascii="Calibri" w:eastAsia="Times New Roman" w:hAnsi="Calibri" w:cs="Times New Roman"/>
                <w:sz w:val="24"/>
                <w:szCs w:val="24"/>
              </w:rPr>
            </w:pPr>
            <w:r w:rsidRPr="00F87D4F">
              <w:rPr>
                <w:rFonts w:ascii="Calibri" w:eastAsia="Times New Roman" w:hAnsi="Calibri" w:cs="Times New Roman"/>
                <w:sz w:val="24"/>
                <w:szCs w:val="24"/>
              </w:rPr>
              <w:t xml:space="preserve">Technology </w:t>
            </w:r>
            <w:r>
              <w:rPr>
                <w:rFonts w:ascii="Calibri" w:eastAsia="Times New Roman" w:hAnsi="Calibri" w:cs="Times New Roman"/>
                <w:sz w:val="24"/>
                <w:szCs w:val="24"/>
              </w:rPr>
              <w:t xml:space="preserve">       </w:t>
            </w:r>
            <w:r w:rsidRPr="00F87D4F">
              <w:rPr>
                <w:rFonts w:ascii="Calibri" w:eastAsia="Times New Roman" w:hAnsi="Calibri" w:cs="Times New Roman"/>
                <w:sz w:val="24"/>
                <w:szCs w:val="24"/>
              </w:rPr>
              <w:t>$3000</w:t>
            </w:r>
          </w:p>
        </w:tc>
        <w:tc>
          <w:tcPr>
            <w:tcW w:w="0" w:type="auto"/>
            <w:tcBorders>
              <w:top w:val="single" w:sz="4" w:space="0" w:color="CCCCCC"/>
              <w:left w:val="single" w:sz="4" w:space="0" w:color="CCCCCC"/>
              <w:bottom w:val="single" w:sz="4" w:space="0" w:color="CCCCCC"/>
              <w:right w:val="single" w:sz="4" w:space="0" w:color="CCCCCC"/>
            </w:tcBorders>
            <w:tcMar>
              <w:top w:w="0" w:type="dxa"/>
              <w:left w:w="36" w:type="dxa"/>
              <w:bottom w:w="0" w:type="dxa"/>
              <w:right w:w="36" w:type="dxa"/>
            </w:tcMar>
            <w:vAlign w:val="bottom"/>
            <w:hideMark/>
          </w:tcPr>
          <w:p w:rsidR="00F87D4F" w:rsidRPr="00F87D4F" w:rsidRDefault="00F87D4F" w:rsidP="00F87D4F">
            <w:pPr>
              <w:spacing w:line="240" w:lineRule="auto"/>
              <w:rPr>
                <w:rFonts w:ascii="Calibri" w:eastAsia="Times New Roman" w:hAnsi="Calibri" w:cs="Times New Roman"/>
                <w:sz w:val="24"/>
                <w:szCs w:val="24"/>
              </w:rPr>
            </w:pPr>
            <w:r w:rsidRPr="00F87D4F">
              <w:rPr>
                <w:rFonts w:ascii="Calibri" w:eastAsia="Times New Roman" w:hAnsi="Calibri" w:cs="Times New Roman"/>
                <w:sz w:val="24"/>
                <w:szCs w:val="24"/>
              </w:rPr>
              <w:t>Complete Computing</w:t>
            </w:r>
          </w:p>
        </w:tc>
      </w:tr>
      <w:tr w:rsidR="00F87D4F" w:rsidRPr="00F87D4F" w:rsidTr="00F87D4F">
        <w:trPr>
          <w:trHeight w:val="227"/>
        </w:trPr>
        <w:tc>
          <w:tcPr>
            <w:tcW w:w="0" w:type="auto"/>
            <w:tcBorders>
              <w:top w:val="single" w:sz="4" w:space="0" w:color="CCCCCC"/>
              <w:left w:val="single" w:sz="4" w:space="0" w:color="CCCCCC"/>
              <w:bottom w:val="single" w:sz="4" w:space="0" w:color="CCCCCC"/>
              <w:right w:val="single" w:sz="4" w:space="0" w:color="CCCCCC"/>
            </w:tcBorders>
            <w:tcMar>
              <w:top w:w="0" w:type="dxa"/>
              <w:left w:w="36" w:type="dxa"/>
              <w:bottom w:w="0" w:type="dxa"/>
              <w:right w:w="36" w:type="dxa"/>
            </w:tcMar>
            <w:vAlign w:val="bottom"/>
            <w:hideMark/>
          </w:tcPr>
          <w:p w:rsidR="00F87D4F" w:rsidRPr="00F87D4F" w:rsidRDefault="00F87D4F" w:rsidP="00F87D4F">
            <w:pPr>
              <w:spacing w:line="240" w:lineRule="auto"/>
              <w:rPr>
                <w:rFonts w:ascii="Calibri" w:eastAsia="Times New Roman" w:hAnsi="Calibri" w:cs="Times New Roman"/>
                <w:sz w:val="24"/>
                <w:szCs w:val="24"/>
              </w:rPr>
            </w:pPr>
            <w:r w:rsidRPr="00F87D4F">
              <w:rPr>
                <w:rFonts w:ascii="Calibri" w:eastAsia="Times New Roman" w:hAnsi="Calibri" w:cs="Times New Roman"/>
                <w:sz w:val="24"/>
                <w:szCs w:val="24"/>
              </w:rPr>
              <w:t xml:space="preserve">Teacher </w:t>
            </w:r>
            <w:r>
              <w:rPr>
                <w:rFonts w:ascii="Calibri" w:eastAsia="Times New Roman" w:hAnsi="Calibri" w:cs="Times New Roman"/>
                <w:sz w:val="24"/>
                <w:szCs w:val="24"/>
              </w:rPr>
              <w:t xml:space="preserve">             </w:t>
            </w:r>
            <w:r w:rsidRPr="00F87D4F">
              <w:rPr>
                <w:rFonts w:ascii="Calibri" w:eastAsia="Times New Roman" w:hAnsi="Calibri" w:cs="Times New Roman"/>
                <w:sz w:val="24"/>
                <w:szCs w:val="24"/>
              </w:rPr>
              <w:t>$3000</w:t>
            </w:r>
          </w:p>
        </w:tc>
        <w:tc>
          <w:tcPr>
            <w:tcW w:w="0" w:type="auto"/>
            <w:tcBorders>
              <w:top w:val="single" w:sz="4" w:space="0" w:color="CCCCCC"/>
              <w:left w:val="single" w:sz="4" w:space="0" w:color="CCCCCC"/>
              <w:bottom w:val="single" w:sz="4" w:space="0" w:color="CCCCCC"/>
              <w:right w:val="single" w:sz="4" w:space="0" w:color="CCCCCC"/>
            </w:tcBorders>
            <w:tcMar>
              <w:top w:w="0" w:type="dxa"/>
              <w:left w:w="36" w:type="dxa"/>
              <w:bottom w:w="0" w:type="dxa"/>
              <w:right w:w="36" w:type="dxa"/>
            </w:tcMar>
            <w:vAlign w:val="bottom"/>
            <w:hideMark/>
          </w:tcPr>
          <w:p w:rsidR="00F87D4F" w:rsidRPr="00F87D4F" w:rsidRDefault="00F87D4F" w:rsidP="00F87D4F">
            <w:pPr>
              <w:spacing w:line="240" w:lineRule="auto"/>
              <w:rPr>
                <w:rFonts w:ascii="Calibri" w:eastAsia="Times New Roman" w:hAnsi="Calibri" w:cs="Times New Roman"/>
                <w:sz w:val="24"/>
                <w:szCs w:val="24"/>
              </w:rPr>
            </w:pPr>
            <w:r>
              <w:rPr>
                <w:rFonts w:ascii="Calibri" w:eastAsia="Times New Roman" w:hAnsi="Calibri" w:cs="Times New Roman"/>
                <w:sz w:val="24"/>
                <w:szCs w:val="24"/>
              </w:rPr>
              <w:t>Little Rock Education Association</w:t>
            </w:r>
          </w:p>
        </w:tc>
      </w:tr>
    </w:tbl>
    <w:p w:rsidR="00F87D4F" w:rsidRPr="00F87D4F" w:rsidRDefault="00F87D4F" w:rsidP="00F87D4F">
      <w:pPr>
        <w:pStyle w:val="ListParagraph"/>
        <w:numPr>
          <w:ilvl w:val="0"/>
          <w:numId w:val="1"/>
        </w:numPr>
        <w:jc w:val="both"/>
        <w:rPr>
          <w:sz w:val="24"/>
          <w:szCs w:val="24"/>
        </w:rPr>
      </w:pPr>
      <w:r w:rsidRPr="00F87D4F">
        <w:rPr>
          <w:sz w:val="24"/>
          <w:szCs w:val="24"/>
        </w:rPr>
        <w:t xml:space="preserve">Secured “satellite” corporate settings where students will work next to professionals </w:t>
      </w:r>
    </w:p>
    <w:p w:rsidR="00F87D4F" w:rsidRPr="00F87D4F" w:rsidRDefault="00F87D4F" w:rsidP="00F87D4F">
      <w:pPr>
        <w:pStyle w:val="ListParagraph"/>
        <w:numPr>
          <w:ilvl w:val="1"/>
          <w:numId w:val="1"/>
        </w:numPr>
        <w:jc w:val="both"/>
        <w:rPr>
          <w:sz w:val="24"/>
          <w:szCs w:val="24"/>
        </w:rPr>
      </w:pPr>
      <w:r w:rsidRPr="00F87D4F">
        <w:rPr>
          <w:sz w:val="24"/>
          <w:szCs w:val="24"/>
        </w:rPr>
        <w:t>Medical &amp; Health Sciences- Baptist Health Career Education Center</w:t>
      </w:r>
    </w:p>
    <w:p w:rsidR="00F87D4F" w:rsidRPr="00F87D4F" w:rsidRDefault="00F87D4F" w:rsidP="00F87D4F">
      <w:pPr>
        <w:pStyle w:val="ListParagraph"/>
        <w:numPr>
          <w:ilvl w:val="1"/>
          <w:numId w:val="1"/>
        </w:numPr>
        <w:jc w:val="both"/>
        <w:rPr>
          <w:sz w:val="24"/>
          <w:szCs w:val="24"/>
        </w:rPr>
      </w:pPr>
      <w:r w:rsidRPr="00F87D4F">
        <w:rPr>
          <w:sz w:val="24"/>
          <w:szCs w:val="24"/>
        </w:rPr>
        <w:t>Teacher Cadet/Orientation- UA Little Rock School of Education</w:t>
      </w:r>
    </w:p>
    <w:p w:rsidR="00F87D4F" w:rsidRPr="00F87D4F" w:rsidRDefault="00F87D4F" w:rsidP="00F87D4F">
      <w:pPr>
        <w:pStyle w:val="ListParagraph"/>
        <w:numPr>
          <w:ilvl w:val="1"/>
          <w:numId w:val="1"/>
        </w:numPr>
        <w:jc w:val="both"/>
        <w:rPr>
          <w:sz w:val="24"/>
          <w:szCs w:val="24"/>
        </w:rPr>
      </w:pPr>
      <w:r w:rsidRPr="00F87D4F">
        <w:rPr>
          <w:sz w:val="24"/>
          <w:szCs w:val="24"/>
        </w:rPr>
        <w:t>Technology Solutions- Aristotle</w:t>
      </w:r>
    </w:p>
    <w:p w:rsidR="00F87D4F" w:rsidRPr="00F87D4F" w:rsidRDefault="00F87D4F" w:rsidP="00F87D4F">
      <w:pPr>
        <w:pStyle w:val="ListParagraph"/>
        <w:numPr>
          <w:ilvl w:val="1"/>
          <w:numId w:val="1"/>
        </w:numPr>
        <w:jc w:val="both"/>
        <w:rPr>
          <w:sz w:val="24"/>
          <w:szCs w:val="24"/>
        </w:rPr>
      </w:pPr>
      <w:r w:rsidRPr="00F87D4F">
        <w:rPr>
          <w:sz w:val="24"/>
          <w:szCs w:val="24"/>
        </w:rPr>
        <w:t>Construction- Metro campus and open to all students in Pulaski Co.</w:t>
      </w:r>
    </w:p>
    <w:p w:rsidR="00F87D4F" w:rsidRDefault="00F87D4F" w:rsidP="00F87D4F">
      <w:pPr>
        <w:pStyle w:val="ListParagraph"/>
        <w:numPr>
          <w:ilvl w:val="0"/>
          <w:numId w:val="1"/>
        </w:numPr>
        <w:jc w:val="both"/>
        <w:rPr>
          <w:sz w:val="24"/>
          <w:szCs w:val="24"/>
        </w:rPr>
      </w:pPr>
      <w:r w:rsidRPr="00F87D4F">
        <w:rPr>
          <w:sz w:val="24"/>
          <w:szCs w:val="24"/>
        </w:rPr>
        <w:t xml:space="preserve">Enrolled </w:t>
      </w:r>
      <w:r w:rsidR="00CA4C95">
        <w:rPr>
          <w:sz w:val="24"/>
          <w:szCs w:val="24"/>
        </w:rPr>
        <w:t>approximately 100</w:t>
      </w:r>
      <w:r w:rsidRPr="00F87D4F">
        <w:rPr>
          <w:sz w:val="24"/>
          <w:szCs w:val="24"/>
        </w:rPr>
        <w:t xml:space="preserve"> students in the EXCEL career strands, and increased enrollment at Metro in almost </w:t>
      </w:r>
      <w:r>
        <w:rPr>
          <w:sz w:val="24"/>
          <w:szCs w:val="24"/>
        </w:rPr>
        <w:t>every programs of study due to the emphasis on career exploration.</w:t>
      </w:r>
    </w:p>
    <w:p w:rsidR="00F87D4F" w:rsidRDefault="00F87D4F" w:rsidP="00F87D4F">
      <w:pPr>
        <w:pStyle w:val="ListParagraph"/>
        <w:numPr>
          <w:ilvl w:val="0"/>
          <w:numId w:val="1"/>
        </w:numPr>
        <w:jc w:val="both"/>
        <w:rPr>
          <w:sz w:val="24"/>
          <w:szCs w:val="24"/>
        </w:rPr>
      </w:pPr>
      <w:r>
        <w:rPr>
          <w:sz w:val="24"/>
          <w:szCs w:val="24"/>
        </w:rPr>
        <w:t>Eliminated the transportation barrier by partnering with Rock Region Metro to provide students transportation during the school day to go to work sites for job shadowing, internships, classroom observations, site visits, etc.</w:t>
      </w:r>
    </w:p>
    <w:p w:rsidR="00F87D4F" w:rsidRPr="00F87D4F" w:rsidRDefault="00F87D4F" w:rsidP="00F87D4F">
      <w:pPr>
        <w:pStyle w:val="ListParagraph"/>
        <w:numPr>
          <w:ilvl w:val="0"/>
          <w:numId w:val="1"/>
        </w:numPr>
        <w:jc w:val="both"/>
        <w:rPr>
          <w:sz w:val="24"/>
          <w:szCs w:val="24"/>
        </w:rPr>
      </w:pPr>
      <w:r>
        <w:rPr>
          <w:sz w:val="24"/>
          <w:szCs w:val="24"/>
        </w:rPr>
        <w:t>Hired 5 dynamic professionals with industry experience to facilitate and lead students through career exploration.</w:t>
      </w:r>
    </w:p>
    <w:p w:rsidR="00F87D4F" w:rsidRPr="00F87D4F" w:rsidRDefault="00F87D4F" w:rsidP="00F87D4F">
      <w:pPr>
        <w:ind w:left="720"/>
        <w:jc w:val="both"/>
        <w:rPr>
          <w:sz w:val="24"/>
          <w:szCs w:val="24"/>
        </w:rPr>
      </w:pPr>
    </w:p>
    <w:sectPr w:rsidR="00F87D4F" w:rsidRPr="00F87D4F" w:rsidSect="00F87D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A444C"/>
    <w:multiLevelType w:val="hybridMultilevel"/>
    <w:tmpl w:val="B31CC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02250C"/>
    <w:multiLevelType w:val="hybridMultilevel"/>
    <w:tmpl w:val="03423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D4F"/>
    <w:rsid w:val="0000457C"/>
    <w:rsid w:val="000906A5"/>
    <w:rsid w:val="000E2988"/>
    <w:rsid w:val="00103B2E"/>
    <w:rsid w:val="001B1D71"/>
    <w:rsid w:val="002362E6"/>
    <w:rsid w:val="00241ACD"/>
    <w:rsid w:val="00442D7D"/>
    <w:rsid w:val="004447FB"/>
    <w:rsid w:val="004461D5"/>
    <w:rsid w:val="0054178D"/>
    <w:rsid w:val="00565E58"/>
    <w:rsid w:val="00584127"/>
    <w:rsid w:val="005C5C6D"/>
    <w:rsid w:val="005D2430"/>
    <w:rsid w:val="00610725"/>
    <w:rsid w:val="00713709"/>
    <w:rsid w:val="00743663"/>
    <w:rsid w:val="007539CD"/>
    <w:rsid w:val="007A23CB"/>
    <w:rsid w:val="00887250"/>
    <w:rsid w:val="00894670"/>
    <w:rsid w:val="008C67DD"/>
    <w:rsid w:val="009404D3"/>
    <w:rsid w:val="009B7560"/>
    <w:rsid w:val="00A80EF2"/>
    <w:rsid w:val="00A913C2"/>
    <w:rsid w:val="00AB3FFF"/>
    <w:rsid w:val="00B200B1"/>
    <w:rsid w:val="00B8033C"/>
    <w:rsid w:val="00C21276"/>
    <w:rsid w:val="00C476E8"/>
    <w:rsid w:val="00C8192F"/>
    <w:rsid w:val="00CA4C95"/>
    <w:rsid w:val="00D14CB9"/>
    <w:rsid w:val="00E43F61"/>
    <w:rsid w:val="00F87D4F"/>
    <w:rsid w:val="00FA4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7A867A-AD18-4520-A1C3-85E017A1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7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7D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D4F"/>
    <w:rPr>
      <w:rFonts w:ascii="Tahoma" w:hAnsi="Tahoma" w:cs="Tahoma"/>
      <w:sz w:val="16"/>
      <w:szCs w:val="16"/>
    </w:rPr>
  </w:style>
  <w:style w:type="paragraph" w:styleId="ListParagraph">
    <w:name w:val="List Paragraph"/>
    <w:basedOn w:val="Normal"/>
    <w:uiPriority w:val="34"/>
    <w:qFormat/>
    <w:rsid w:val="00F87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75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stacie</dc:creator>
  <cp:lastModifiedBy>Perry, Jasmine</cp:lastModifiedBy>
  <cp:revision>2</cp:revision>
  <dcterms:created xsi:type="dcterms:W3CDTF">2017-10-23T22:14:00Z</dcterms:created>
  <dcterms:modified xsi:type="dcterms:W3CDTF">2017-10-23T22:14:00Z</dcterms:modified>
</cp:coreProperties>
</file>